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39" w:rsidRPr="00E859B6" w:rsidRDefault="00E93B39" w:rsidP="00E93B39">
      <w:pPr>
        <w:spacing w:after="0"/>
        <w:jc w:val="center"/>
        <w:rPr>
          <w:b/>
        </w:rPr>
      </w:pPr>
      <w:r w:rsidRPr="00E859B6">
        <w:rPr>
          <w:b/>
        </w:rPr>
        <w:t>Według Rozporządzenia Rady Ministrów z dnia 28 sierpnia 2018 r.</w:t>
      </w:r>
    </w:p>
    <w:p w:rsidR="00E93B39" w:rsidRPr="00E859B6" w:rsidRDefault="00E93B39" w:rsidP="00E93B39">
      <w:pPr>
        <w:spacing w:after="0"/>
        <w:jc w:val="center"/>
        <w:rPr>
          <w:b/>
        </w:rPr>
      </w:pPr>
      <w:r w:rsidRPr="00E859B6">
        <w:rPr>
          <w:b/>
        </w:rPr>
        <w:t>w sprawie pomocy publicznej udzielanej niektórym przedsiębiorcom na realizację nowych inwestycji</w:t>
      </w:r>
    </w:p>
    <w:p w:rsidR="00E93B39" w:rsidRPr="00BD4E4B" w:rsidRDefault="00E93B39" w:rsidP="00E93B39">
      <w:pPr>
        <w:spacing w:after="0"/>
        <w:jc w:val="both"/>
        <w:rPr>
          <w:b/>
        </w:rPr>
      </w:pPr>
      <w:r w:rsidRPr="00BD4E4B">
        <w:rPr>
          <w:b/>
        </w:rPr>
        <w:t>§ 8. 1. Do kosztów kwalifikujących się do objęcia wsparciem na nowe inwestycje zalicza się koszty będące:</w:t>
      </w:r>
    </w:p>
    <w:p w:rsidR="00E93B39" w:rsidRDefault="00E93B39" w:rsidP="00E93B39">
      <w:pPr>
        <w:spacing w:after="0"/>
        <w:jc w:val="both"/>
      </w:pPr>
    </w:p>
    <w:p w:rsidR="00E93B39" w:rsidRDefault="00E93B39" w:rsidP="00E93B39">
      <w:pPr>
        <w:spacing w:after="0"/>
        <w:jc w:val="both"/>
      </w:pPr>
      <w:r>
        <w:t>1)</w:t>
      </w:r>
      <w:r>
        <w:tab/>
        <w:t>kosztem związanym z nabyciem gruntów lub prawa ich użytkowania wieczystego,</w:t>
      </w:r>
    </w:p>
    <w:p w:rsidR="00E93B39" w:rsidRDefault="00E93B39" w:rsidP="00E93B39">
      <w:pPr>
        <w:spacing w:after="0"/>
        <w:jc w:val="both"/>
      </w:pPr>
      <w:r>
        <w:t>2)</w:t>
      </w:r>
      <w:r>
        <w:tab/>
        <w:t xml:space="preserve">ceną nabycia albo kosztem wytworzenia we własnym zakresie środków trwałych, </w:t>
      </w:r>
    </w:p>
    <w:p w:rsidR="00E93B39" w:rsidRDefault="00E93B39" w:rsidP="00E93B39">
      <w:pPr>
        <w:spacing w:after="0"/>
        <w:jc w:val="both"/>
      </w:pPr>
      <w:r>
        <w:t xml:space="preserve">pod warunkiem zaliczenia ich, zgodnie z odrębnymi przepisami, do składników majątku podatnika </w:t>
      </w:r>
    </w:p>
    <w:p w:rsidR="00E93B39" w:rsidRDefault="00E93B39" w:rsidP="00E93B39">
      <w:pPr>
        <w:spacing w:after="0"/>
        <w:jc w:val="both"/>
      </w:pPr>
      <w:r>
        <w:t>i zaliczenia ich do ewidencji środków trwałych oraz wartości niematerialnych i prawnych,</w:t>
      </w:r>
    </w:p>
    <w:p w:rsidR="00E93B39" w:rsidRDefault="00E93B39" w:rsidP="00E93B39">
      <w:pPr>
        <w:spacing w:after="0"/>
        <w:jc w:val="both"/>
      </w:pPr>
      <w:r>
        <w:t>3)</w:t>
      </w:r>
      <w:r>
        <w:tab/>
        <w:t>kosztem rozbudowy lub modernizacji istniejących środków trwałych,</w:t>
      </w:r>
    </w:p>
    <w:p w:rsidR="00E93B39" w:rsidRDefault="00E93B39" w:rsidP="00E93B39">
      <w:pPr>
        <w:spacing w:after="0"/>
        <w:jc w:val="both"/>
      </w:pPr>
      <w:r>
        <w:t>4)</w:t>
      </w:r>
      <w:r>
        <w:tab/>
        <w:t xml:space="preserve">ceną nabycia wartości niematerialnych i prawnych związanych z transferem technologii przez nabycie praw patentowych, licencji, know-how i nieopatentowanej wiedzy technicznej, </w:t>
      </w:r>
    </w:p>
    <w:p w:rsidR="00E93B39" w:rsidRDefault="00E93B39" w:rsidP="00E93B39">
      <w:pPr>
        <w:spacing w:after="0"/>
        <w:jc w:val="both"/>
      </w:pPr>
      <w:r>
        <w:t>z zastrzeżeniem ust. 2 i 3,</w:t>
      </w:r>
    </w:p>
    <w:p w:rsidR="00E93B39" w:rsidRDefault="00E93B39" w:rsidP="00E93B39">
      <w:pPr>
        <w:spacing w:after="0"/>
        <w:jc w:val="both"/>
      </w:pPr>
      <w:r>
        <w:t>5)</w:t>
      </w:r>
      <w:r>
        <w:tab/>
        <w:t xml:space="preserve">kosztem związanym z najmem lub dzierżawą gruntów, budynków i budowli – pod warunkiem że okres najmu lub dzierżawy trwa co najmniej 5 lat, a w przypadku </w:t>
      </w:r>
      <w:proofErr w:type="spellStart"/>
      <w:r>
        <w:t>mikroprzedsiębiorców</w:t>
      </w:r>
      <w:proofErr w:type="spellEnd"/>
      <w:r>
        <w:t>, małych przedsiębiorców i średnich przedsiębiorców – co najmniej 3 lata, licząc od przewidywanego terminu zakończenia nowej inwestycji,</w:t>
      </w:r>
    </w:p>
    <w:p w:rsidR="00E93B39" w:rsidRDefault="00E93B39" w:rsidP="00E93B39">
      <w:pPr>
        <w:spacing w:after="0"/>
        <w:jc w:val="both"/>
      </w:pPr>
      <w:r>
        <w:t>6)</w:t>
      </w:r>
      <w:r>
        <w:tab/>
        <w:t xml:space="preserve">ceną nabycia aktywów innych niż grunty, budynki i budowle objęte najmem lub dzierżawą, </w:t>
      </w:r>
    </w:p>
    <w:p w:rsidR="00E93B39" w:rsidRDefault="00E93B39" w:rsidP="00E93B39">
      <w:pPr>
        <w:spacing w:after="0"/>
        <w:jc w:val="both"/>
      </w:pPr>
      <w:r>
        <w:t>w przypadku gdy najem lub dzierżawa ma postać leasingu finansowego oraz obejmuje zobowiązanie do nabycia aktywów z dniem upływu okresu najmu lub dzierżawy</w:t>
      </w:r>
    </w:p>
    <w:p w:rsidR="00E93B39" w:rsidRDefault="00E93B39" w:rsidP="00E93B39">
      <w:pPr>
        <w:spacing w:after="0"/>
        <w:jc w:val="both"/>
      </w:pPr>
      <w:r>
        <w:t>– pomniejszone o naliczony podatek od towarów i usług oraz o podatek akcyzowy, jeżeli możliwość ich odliczeń wynika z odrębnych przepisów, poniesione w okresie ważności decyzji o wsparciu wydanej dla konkretnej lokalizacji.</w:t>
      </w:r>
    </w:p>
    <w:p w:rsidR="00E93B39" w:rsidRDefault="00E93B39" w:rsidP="00E93B39">
      <w:pPr>
        <w:spacing w:after="0"/>
        <w:jc w:val="both"/>
      </w:pPr>
      <w:r>
        <w:t>2.</w:t>
      </w:r>
      <w:r>
        <w:tab/>
        <w:t>W przypadku dużych przedsiębiorców koszty nowej inwestycji określone w ust. 1 pkt 4 zalicza się do kosztów kwalifikujących się do objęcia pomocą w wysokości nieprzekraczającej 50% wartości wydatków kwalifikujących się do objęcia pomocą.</w:t>
      </w:r>
    </w:p>
    <w:p w:rsidR="00E93B39" w:rsidRDefault="00E93B39" w:rsidP="00E93B39">
      <w:pPr>
        <w:spacing w:after="0"/>
        <w:jc w:val="both"/>
      </w:pPr>
      <w:r>
        <w:t>3.</w:t>
      </w:r>
      <w:r>
        <w:tab/>
        <w:t>Wartości niematerialne i prawne kwalifikują się do kosztów nowej inwestycji, jeżeli łącznie spełniają następujące warunki:</w:t>
      </w:r>
    </w:p>
    <w:p w:rsidR="00E93B39" w:rsidRDefault="00E93B39" w:rsidP="00E93B39">
      <w:pPr>
        <w:spacing w:after="0"/>
        <w:jc w:val="both"/>
      </w:pPr>
      <w:r>
        <w:t>1)</w:t>
      </w:r>
      <w:r>
        <w:tab/>
        <w:t xml:space="preserve">będą wykorzystane przez przedsiębiorcę otrzymującego regionalną pomoc inwestycyjną wyłącznie w zakładzie, na rzecz którego przedsiębiorca otrzymuje wsparcie, oraz będą ujęte </w:t>
      </w:r>
    </w:p>
    <w:p w:rsidR="00E93B39" w:rsidRDefault="00E93B39" w:rsidP="00E93B39">
      <w:pPr>
        <w:spacing w:after="0"/>
        <w:jc w:val="both"/>
      </w:pPr>
      <w:r>
        <w:t xml:space="preserve">w aktywach tego zakładu i pozostaną w nim przez okres co najmniej 5 lat, a w przypadku </w:t>
      </w:r>
      <w:proofErr w:type="spellStart"/>
      <w:r>
        <w:t>mikroprzedsiębiorcy</w:t>
      </w:r>
      <w:proofErr w:type="spellEnd"/>
      <w:r>
        <w:t xml:space="preserve">, małego przedsiębiorcy i średniego przedsiębiorcy – przez okres co najmniej </w:t>
      </w:r>
    </w:p>
    <w:p w:rsidR="00E93B39" w:rsidRDefault="00E93B39" w:rsidP="00E93B39">
      <w:pPr>
        <w:spacing w:after="0"/>
        <w:jc w:val="both"/>
      </w:pPr>
      <w:r>
        <w:t>3 lat;</w:t>
      </w:r>
    </w:p>
    <w:p w:rsidR="00E93B39" w:rsidRDefault="00E93B39" w:rsidP="00E93B39">
      <w:pPr>
        <w:spacing w:after="0"/>
        <w:jc w:val="both"/>
      </w:pPr>
      <w:r>
        <w:t>2)</w:t>
      </w:r>
      <w:r>
        <w:tab/>
        <w:t>będą nabyte na warunkach rynkowych od osoby trzeciej niepowiązanej z nabywcą;</w:t>
      </w:r>
    </w:p>
    <w:p w:rsidR="00E93B39" w:rsidRDefault="00E93B39" w:rsidP="00E93B39">
      <w:pPr>
        <w:spacing w:after="0"/>
        <w:jc w:val="both"/>
      </w:pPr>
      <w:r>
        <w:t>3)</w:t>
      </w:r>
      <w:r>
        <w:tab/>
        <w:t>będą podlegać amortyzacji zgodnie z przepisami o podatku dochodowym.</w:t>
      </w:r>
    </w:p>
    <w:p w:rsidR="00E93B39" w:rsidRDefault="00E93B39" w:rsidP="00E93B39">
      <w:pPr>
        <w:spacing w:after="0"/>
        <w:jc w:val="both"/>
      </w:pPr>
      <w:r>
        <w:t>4.</w:t>
      </w:r>
      <w:r>
        <w:tab/>
        <w:t xml:space="preserve">Cenę nabycia i koszt wytworzenia środków trwałych oraz wartości niematerialnych </w:t>
      </w:r>
    </w:p>
    <w:p w:rsidR="00E93B39" w:rsidRDefault="00E93B39" w:rsidP="00E93B39">
      <w:pPr>
        <w:spacing w:after="0"/>
        <w:jc w:val="both"/>
      </w:pPr>
      <w:r>
        <w:t>i prawnych ustala się zgodnie z przepisami ustawy z dnia 29 września 1994 r. o rachunkowości.</w:t>
      </w:r>
    </w:p>
    <w:p w:rsidR="00E93B39" w:rsidRDefault="00E93B39" w:rsidP="00E93B39">
      <w:pPr>
        <w:spacing w:after="0"/>
        <w:jc w:val="both"/>
      </w:pPr>
      <w:r>
        <w:t>5.</w:t>
      </w:r>
      <w:r>
        <w:tab/>
        <w:t>Środki trwałe, o których mowa w ust. 1 pkt 2, muszą być nowe, z wyjątkiem aktywów nabywanych przez mikro-przedsiębiorców, małych przedsiębiorców i średnich przedsiębiorców.</w:t>
      </w:r>
    </w:p>
    <w:p w:rsidR="00E93B39" w:rsidRDefault="00E93B39" w:rsidP="00E93B39">
      <w:pPr>
        <w:spacing w:after="0"/>
        <w:jc w:val="both"/>
      </w:pPr>
      <w:r>
        <w:t>6.</w:t>
      </w:r>
      <w:r>
        <w:tab/>
        <w:t>W przypadku wsparcia udzielanego dużym przedsiębiorcom na realizację nowej inwestycji polegającej na:</w:t>
      </w:r>
    </w:p>
    <w:p w:rsidR="00E93B39" w:rsidRDefault="00E93B39" w:rsidP="00E93B39">
      <w:pPr>
        <w:spacing w:after="0"/>
        <w:jc w:val="both"/>
      </w:pPr>
      <w:r>
        <w:t>1)</w:t>
      </w:r>
      <w:r>
        <w:tab/>
        <w:t xml:space="preserve">zasadniczej zmianie procesu produkcji – koszty kwalifikujące się do objęcia pomocą muszą przekraczać koszty amortyzacji aktywów związanych z działalnością podlegającą modernizacji </w:t>
      </w:r>
      <w:r>
        <w:lastRenderedPageBreak/>
        <w:t>poniesionych w ciągu trzech lat obrotowych poprzedzających rok obrotowy, w którym został złożony wniosek o pomoc;</w:t>
      </w:r>
    </w:p>
    <w:p w:rsidR="00E93B39" w:rsidRDefault="00E93B39" w:rsidP="00E93B39">
      <w:pPr>
        <w:spacing w:after="0"/>
        <w:jc w:val="both"/>
      </w:pPr>
      <w:r>
        <w:t>2)</w:t>
      </w:r>
      <w:r>
        <w:tab/>
        <w:t>dywersyfikacji produkcji istniejącego zakładu – koszty kwalifikujące się do objęcia pomocą muszą przekraczać o co najmniej 200% wartość księgową ponownie wykorzystywanych aktywów wykazaną na koniec roku obrotowego poprzedzającego rok obrotowy, w którym rozpoczęto realizację tej nowej inwestycji.</w:t>
      </w:r>
    </w:p>
    <w:p w:rsidR="00E93B39" w:rsidRDefault="00E93B39" w:rsidP="00E93B39">
      <w:pPr>
        <w:spacing w:after="0"/>
        <w:jc w:val="both"/>
      </w:pPr>
      <w:r>
        <w:t>7.</w:t>
      </w:r>
      <w:r>
        <w:tab/>
        <w:t>Maksymalna wysokość kosztów kwalifikowanych nowej inwestycji, jakie są uwzględniane przy określeniu maksymalnej wysokości pomocy publicznej, nie może przekroczyć 130% kosztów kwalifikowanych nowej inwestycji, do których poniesienia w określonym terminie zobowiązał się przedsiębiorca.</w:t>
      </w:r>
    </w:p>
    <w:p w:rsidR="00E93B39" w:rsidRDefault="00E93B39" w:rsidP="00E93B39">
      <w:pPr>
        <w:spacing w:after="0"/>
        <w:jc w:val="both"/>
      </w:pPr>
    </w:p>
    <w:p w:rsidR="00E93B39" w:rsidRDefault="00E93B39" w:rsidP="00E93B39">
      <w:pPr>
        <w:spacing w:after="0"/>
        <w:jc w:val="both"/>
      </w:pPr>
    </w:p>
    <w:p w:rsidR="00113893" w:rsidRDefault="00113893">
      <w:bookmarkStart w:id="0" w:name="_GoBack"/>
      <w:bookmarkEnd w:id="0"/>
    </w:p>
    <w:sectPr w:rsidR="0011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39"/>
    <w:rsid w:val="00113893"/>
    <w:rsid w:val="00E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Adam Byszyński</cp:lastModifiedBy>
  <cp:revision>1</cp:revision>
  <dcterms:created xsi:type="dcterms:W3CDTF">2020-01-30T13:14:00Z</dcterms:created>
  <dcterms:modified xsi:type="dcterms:W3CDTF">2020-01-30T13:14:00Z</dcterms:modified>
</cp:coreProperties>
</file>