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2A" w:rsidRPr="00A41F2A" w:rsidRDefault="00A41F2A" w:rsidP="00A41F2A">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pl-PL"/>
        </w:rPr>
      </w:pPr>
      <w:bookmarkStart w:id="0" w:name="_GoBack"/>
      <w:bookmarkEnd w:id="0"/>
      <w:r w:rsidRPr="00A41F2A">
        <w:rPr>
          <w:rFonts w:ascii="Times New Roman" w:eastAsia="Times New Roman" w:hAnsi="Times New Roman" w:cs="Times New Roman"/>
          <w:b/>
          <w:bCs/>
          <w:color w:val="444444"/>
          <w:sz w:val="27"/>
          <w:szCs w:val="27"/>
          <w:lang w:eastAsia="pl-PL"/>
        </w:rPr>
        <w:t>ZAŁĄCZNIK I</w:t>
      </w:r>
    </w:p>
    <w:p w:rsidR="00A41F2A" w:rsidRPr="00A41F2A" w:rsidRDefault="00A41F2A" w:rsidP="00A41F2A">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pl-PL"/>
        </w:rPr>
      </w:pPr>
      <w:r w:rsidRPr="00A41F2A">
        <w:rPr>
          <w:rFonts w:ascii="Times New Roman" w:eastAsia="Times New Roman" w:hAnsi="Times New Roman" w:cs="Times New Roman"/>
          <w:b/>
          <w:bCs/>
          <w:color w:val="444444"/>
          <w:sz w:val="27"/>
          <w:szCs w:val="27"/>
          <w:lang w:eastAsia="pl-PL"/>
        </w:rPr>
        <w:t>DEFINICJA MŚP</w:t>
      </w:r>
    </w:p>
    <w:p w:rsidR="00A41F2A" w:rsidRPr="00A41F2A" w:rsidRDefault="00A41F2A" w:rsidP="00A41F2A">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pl-PL"/>
        </w:rPr>
      </w:pPr>
      <w:r w:rsidRPr="00A41F2A">
        <w:rPr>
          <w:rFonts w:ascii="Times New Roman" w:eastAsia="Times New Roman" w:hAnsi="Times New Roman" w:cs="Times New Roman"/>
          <w:i/>
          <w:iCs/>
          <w:color w:val="444444"/>
          <w:sz w:val="27"/>
          <w:szCs w:val="27"/>
          <w:lang w:eastAsia="pl-PL"/>
        </w:rPr>
        <w:t>Artykuł 1</w:t>
      </w:r>
    </w:p>
    <w:p w:rsidR="00A41F2A" w:rsidRPr="00A41F2A" w:rsidRDefault="00A41F2A" w:rsidP="00A41F2A">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pl-PL"/>
        </w:rPr>
      </w:pPr>
      <w:r w:rsidRPr="00A41F2A">
        <w:rPr>
          <w:rFonts w:ascii="Times New Roman" w:eastAsia="Times New Roman" w:hAnsi="Times New Roman" w:cs="Times New Roman"/>
          <w:b/>
          <w:bCs/>
          <w:color w:val="444444"/>
          <w:sz w:val="27"/>
          <w:szCs w:val="27"/>
          <w:lang w:eastAsia="pl-PL"/>
        </w:rPr>
        <w:t>Przedsiębiorstwo</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A41F2A" w:rsidRPr="00A41F2A" w:rsidRDefault="00A41F2A" w:rsidP="00A41F2A">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pl-PL"/>
        </w:rPr>
      </w:pPr>
      <w:r w:rsidRPr="00A41F2A">
        <w:rPr>
          <w:rFonts w:ascii="Times New Roman" w:eastAsia="Times New Roman" w:hAnsi="Times New Roman" w:cs="Times New Roman"/>
          <w:i/>
          <w:iCs/>
          <w:color w:val="444444"/>
          <w:sz w:val="27"/>
          <w:szCs w:val="27"/>
          <w:lang w:eastAsia="pl-PL"/>
        </w:rPr>
        <w:t>Artykuł 2</w:t>
      </w:r>
    </w:p>
    <w:p w:rsidR="00A41F2A" w:rsidRPr="00A41F2A" w:rsidRDefault="00A41F2A" w:rsidP="00A41F2A">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pl-PL"/>
        </w:rPr>
      </w:pPr>
      <w:r w:rsidRPr="00A41F2A">
        <w:rPr>
          <w:rFonts w:ascii="Times New Roman" w:eastAsia="Times New Roman" w:hAnsi="Times New Roman" w:cs="Times New Roman"/>
          <w:b/>
          <w:bCs/>
          <w:color w:val="444444"/>
          <w:sz w:val="27"/>
          <w:szCs w:val="27"/>
          <w:lang w:eastAsia="pl-PL"/>
        </w:rPr>
        <w:t>Pułapy zatrudnienia oraz pułapy finansowe określające kategorię przedsiębiorstwa</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1.   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2.   W kategorii MŚP małe przedsiębiorstwo definiuje się jako przedsiębiorstwo, które zatrudnia mniej niż 50 pracowników i którego roczny obrót lub roczna suma bilansowa nie przekracza 10 milionów EUR.</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3.   W kategorii MŚP mikroprzedsiębiorstwo definiuje się jako przedsiębiorstwo, które zatrudnia mniej niż 10 pracowników i którego roczny obrót lub roczna suma bilansowa nie przekracza 2 milionów EUR.</w:t>
      </w:r>
    </w:p>
    <w:p w:rsidR="00A41F2A" w:rsidRPr="00A41F2A" w:rsidRDefault="00A41F2A" w:rsidP="00A41F2A">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pl-PL"/>
        </w:rPr>
      </w:pPr>
      <w:r w:rsidRPr="00A41F2A">
        <w:rPr>
          <w:rFonts w:ascii="Times New Roman" w:eastAsia="Times New Roman" w:hAnsi="Times New Roman" w:cs="Times New Roman"/>
          <w:i/>
          <w:iCs/>
          <w:color w:val="444444"/>
          <w:sz w:val="27"/>
          <w:szCs w:val="27"/>
          <w:lang w:eastAsia="pl-PL"/>
        </w:rPr>
        <w:t>Artykuł 3</w:t>
      </w:r>
    </w:p>
    <w:p w:rsidR="00A41F2A" w:rsidRPr="00A41F2A" w:rsidRDefault="00A41F2A" w:rsidP="00A41F2A">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pl-PL"/>
        </w:rPr>
      </w:pPr>
      <w:r w:rsidRPr="00A41F2A">
        <w:rPr>
          <w:rFonts w:ascii="Times New Roman" w:eastAsia="Times New Roman" w:hAnsi="Times New Roman" w:cs="Times New Roman"/>
          <w:b/>
          <w:bCs/>
          <w:color w:val="444444"/>
          <w:sz w:val="27"/>
          <w:szCs w:val="27"/>
          <w:lang w:eastAsia="pl-PL"/>
        </w:rPr>
        <w:t>Rodzaje przedsiębiorstw brane pod uwagę przy obliczaniu liczby personelu i kwot finansowych</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1.   „Przedsiębiorstwo samodzielne” oznacza każde przedsiębiorstwo, które nie jest zakwalifikowane jako przedsiębiorstwo partnerskie w rozumieniu ust. 2, ani jako przedsiębiorstwo powiązane w rozumieniu ust. 3.</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2.   „Przedsiębiorstwa partnerskie” oznaczają wszystkie przedsiębiorstwa, które nie zostały zakwalifikowane jako przedsiębiorstwa powiązane w rozumieniu ust. 3 i między którymi istnieją następujące związki: przedsiębiorstwo działające na rynku wyższego szczebla (typu </w:t>
      </w:r>
      <w:proofErr w:type="spellStart"/>
      <w:r w:rsidRPr="00A41F2A">
        <w:rPr>
          <w:rFonts w:ascii="Times New Roman" w:eastAsia="Times New Roman" w:hAnsi="Times New Roman" w:cs="Times New Roman"/>
          <w:i/>
          <w:iCs/>
          <w:color w:val="444444"/>
          <w:sz w:val="27"/>
          <w:szCs w:val="27"/>
          <w:lang w:eastAsia="pl-PL"/>
        </w:rPr>
        <w:t>upstream</w:t>
      </w:r>
      <w:proofErr w:type="spellEnd"/>
      <w:r w:rsidRPr="00A41F2A">
        <w:rPr>
          <w:rFonts w:ascii="Times New Roman" w:eastAsia="Times New Roman" w:hAnsi="Times New Roman" w:cs="Times New Roman"/>
          <w:color w:val="444444"/>
          <w:sz w:val="27"/>
          <w:szCs w:val="27"/>
          <w:lang w:eastAsia="pl-PL"/>
        </w:rPr>
        <w:t>) posiada, samodzielnie lub wspólnie z co najmniej jednym przedsiębiorstwem powiązanym w rozumieniu ust. 3, co najmniej 25 % kapitału innego przedsiębiorstwa działającego na rynku niższego szczebla (typu </w:t>
      </w:r>
      <w:proofErr w:type="spellStart"/>
      <w:r w:rsidRPr="00A41F2A">
        <w:rPr>
          <w:rFonts w:ascii="Times New Roman" w:eastAsia="Times New Roman" w:hAnsi="Times New Roman" w:cs="Times New Roman"/>
          <w:i/>
          <w:iCs/>
          <w:color w:val="444444"/>
          <w:sz w:val="27"/>
          <w:szCs w:val="27"/>
          <w:lang w:eastAsia="pl-PL"/>
        </w:rPr>
        <w:t>downstream</w:t>
      </w:r>
      <w:proofErr w:type="spellEnd"/>
      <w:r w:rsidRPr="00A41F2A">
        <w:rPr>
          <w:rFonts w:ascii="Times New Roman" w:eastAsia="Times New Roman" w:hAnsi="Times New Roman" w:cs="Times New Roman"/>
          <w:color w:val="444444"/>
          <w:sz w:val="27"/>
          <w:szCs w:val="27"/>
          <w:lang w:eastAsia="pl-PL"/>
        </w:rPr>
        <w:t>) lub praw głosu w takim przedsiębiorstwie.</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tbl>
      <w:tblPr>
        <w:tblW w:w="5000" w:type="pct"/>
        <w:shd w:val="clear" w:color="auto" w:fill="FFFFFF"/>
        <w:tblCellMar>
          <w:left w:w="0" w:type="dxa"/>
          <w:right w:w="0" w:type="dxa"/>
        </w:tblCellMar>
        <w:tblLook w:val="04A0" w:firstRow="1" w:lastRow="0" w:firstColumn="1" w:lastColumn="0" w:noHBand="0" w:noVBand="1"/>
      </w:tblPr>
      <w:tblGrid>
        <w:gridCol w:w="210"/>
        <w:gridCol w:w="10256"/>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a)</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publiczne korporacje inwestycyjne, spółki </w:t>
            </w:r>
            <w:r w:rsidRPr="00A41F2A">
              <w:rPr>
                <w:rFonts w:ascii="Times New Roman" w:eastAsia="Times New Roman" w:hAnsi="Times New Roman" w:cs="Times New Roman"/>
                <w:i/>
                <w:iCs/>
                <w:color w:val="444444"/>
                <w:sz w:val="27"/>
                <w:szCs w:val="27"/>
                <w:lang w:eastAsia="pl-PL"/>
              </w:rPr>
              <w:t xml:space="preserve">venture </w:t>
            </w:r>
            <w:proofErr w:type="spellStart"/>
            <w:r w:rsidRPr="00A41F2A">
              <w:rPr>
                <w:rFonts w:ascii="Times New Roman" w:eastAsia="Times New Roman" w:hAnsi="Times New Roman" w:cs="Times New Roman"/>
                <w:i/>
                <w:iCs/>
                <w:color w:val="444444"/>
                <w:sz w:val="27"/>
                <w:szCs w:val="27"/>
                <w:lang w:eastAsia="pl-PL"/>
              </w:rPr>
              <w:t>capital</w:t>
            </w:r>
            <w:proofErr w:type="spellEnd"/>
            <w:r w:rsidRPr="00A41F2A">
              <w:rPr>
                <w:rFonts w:ascii="Times New Roman" w:eastAsia="Times New Roman" w:hAnsi="Times New Roman" w:cs="Times New Roman"/>
                <w:color w:val="444444"/>
                <w:sz w:val="27"/>
                <w:szCs w:val="27"/>
                <w:lang w:eastAsia="pl-PL"/>
              </w:rPr>
              <w:t>, osoby fizyczne lub grupy osób fizycznych prowadzące regularną działalność inwestycyjną w oparciu o </w:t>
            </w:r>
            <w:r w:rsidRPr="00A41F2A">
              <w:rPr>
                <w:rFonts w:ascii="Times New Roman" w:eastAsia="Times New Roman" w:hAnsi="Times New Roman" w:cs="Times New Roman"/>
                <w:i/>
                <w:iCs/>
                <w:color w:val="444444"/>
                <w:sz w:val="27"/>
                <w:szCs w:val="27"/>
                <w:lang w:eastAsia="pl-PL"/>
              </w:rPr>
              <w:t xml:space="preserve">venture </w:t>
            </w:r>
            <w:proofErr w:type="spellStart"/>
            <w:r w:rsidRPr="00A41F2A">
              <w:rPr>
                <w:rFonts w:ascii="Times New Roman" w:eastAsia="Times New Roman" w:hAnsi="Times New Roman" w:cs="Times New Roman"/>
                <w:i/>
                <w:iCs/>
                <w:color w:val="444444"/>
                <w:sz w:val="27"/>
                <w:szCs w:val="27"/>
                <w:lang w:eastAsia="pl-PL"/>
              </w:rPr>
              <w:t>capital</w:t>
            </w:r>
            <w:proofErr w:type="spellEnd"/>
            <w:r w:rsidRPr="00A41F2A">
              <w:rPr>
                <w:rFonts w:ascii="Times New Roman" w:eastAsia="Times New Roman" w:hAnsi="Times New Roman" w:cs="Times New Roman"/>
                <w:color w:val="444444"/>
                <w:sz w:val="27"/>
                <w:szCs w:val="27"/>
                <w:lang w:eastAsia="pl-PL"/>
              </w:rPr>
              <w:t xml:space="preserve">, które </w:t>
            </w:r>
            <w:r w:rsidRPr="00A41F2A">
              <w:rPr>
                <w:rFonts w:ascii="Times New Roman" w:eastAsia="Times New Roman" w:hAnsi="Times New Roman" w:cs="Times New Roman"/>
                <w:color w:val="444444"/>
                <w:sz w:val="27"/>
                <w:szCs w:val="27"/>
                <w:lang w:eastAsia="pl-PL"/>
              </w:rPr>
              <w:lastRenderedPageBreak/>
              <w:t>inwestują w firmy nienotowane na giełdzie (tzw. „anioły biznesu”), pod warunkiem że całkowita kwota inwestycji tych inwestorów w jedno przedsiębiorstwo nie przekroczy 1 250 000 EUR;</w:t>
            </w:r>
          </w:p>
        </w:tc>
      </w:tr>
    </w:tbl>
    <w:p w:rsidR="00A41F2A" w:rsidRPr="00A41F2A" w:rsidRDefault="00A41F2A" w:rsidP="00A41F2A">
      <w:pPr>
        <w:spacing w:after="0" w:line="240" w:lineRule="auto"/>
        <w:rPr>
          <w:rFonts w:ascii="Times New Roman" w:eastAsia="Times New Roman" w:hAnsi="Times New Roman" w:cs="Times New Roman"/>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337"/>
        <w:gridCol w:w="10129"/>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b)</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uczelnie wyższe lub ośrodki badawcze nienastawione na zysk;</w:t>
            </w:r>
          </w:p>
        </w:tc>
      </w:tr>
    </w:tbl>
    <w:p w:rsidR="00A41F2A" w:rsidRPr="00A41F2A" w:rsidRDefault="00A41F2A" w:rsidP="00A41F2A">
      <w:pPr>
        <w:spacing w:after="0" w:line="240" w:lineRule="auto"/>
        <w:rPr>
          <w:rFonts w:ascii="Times New Roman" w:eastAsia="Times New Roman" w:hAnsi="Times New Roman" w:cs="Times New Roman"/>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296"/>
        <w:gridCol w:w="10170"/>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c)</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inwestorzy instytucjonalni, w tym fundusze rozwoju regionalnego;</w:t>
            </w:r>
          </w:p>
        </w:tc>
      </w:tr>
    </w:tbl>
    <w:p w:rsidR="00A41F2A" w:rsidRPr="00A41F2A" w:rsidRDefault="00A41F2A" w:rsidP="00A41F2A">
      <w:pPr>
        <w:spacing w:after="0" w:line="240" w:lineRule="auto"/>
        <w:rPr>
          <w:rFonts w:ascii="Times New Roman" w:eastAsia="Times New Roman" w:hAnsi="Times New Roman" w:cs="Times New Roman"/>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225"/>
        <w:gridCol w:w="10241"/>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d)</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niezależne władze lokalne z rocznym budżetem poniżej 10 milionów EUR oraz liczbą mieszkańców poniżej 5 000.</w:t>
            </w:r>
          </w:p>
        </w:tc>
      </w:tr>
    </w:tbl>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3.   „Przedsiębiorstwa powiązane” oznaczają przedsiębiorstwa, które pozostają w jednym z poniższych związków:</w:t>
      </w:r>
    </w:p>
    <w:tbl>
      <w:tblPr>
        <w:tblW w:w="5000" w:type="pct"/>
        <w:shd w:val="clear" w:color="auto" w:fill="FFFFFF"/>
        <w:tblCellMar>
          <w:left w:w="0" w:type="dxa"/>
          <w:right w:w="0" w:type="dxa"/>
        </w:tblCellMar>
        <w:tblLook w:val="04A0" w:firstRow="1" w:lastRow="0" w:firstColumn="1" w:lastColumn="0" w:noHBand="0" w:noVBand="1"/>
      </w:tblPr>
      <w:tblGrid>
        <w:gridCol w:w="210"/>
        <w:gridCol w:w="10256"/>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a)</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przedsiębiorstwo ma większość praw głosu w innym przedsiębiorstwie w roli udziałowca/akcjonariusza lub członka;</w:t>
            </w:r>
          </w:p>
        </w:tc>
      </w:tr>
    </w:tbl>
    <w:p w:rsidR="00A41F2A" w:rsidRPr="00A41F2A" w:rsidRDefault="00A41F2A" w:rsidP="00A41F2A">
      <w:pPr>
        <w:spacing w:after="0" w:line="240" w:lineRule="auto"/>
        <w:rPr>
          <w:rFonts w:ascii="Times New Roman" w:eastAsia="Times New Roman" w:hAnsi="Times New Roman" w:cs="Times New Roman"/>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225"/>
        <w:gridCol w:w="10241"/>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b)</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przedsiębiorstwo ma prawo wyznaczyć lub odwołać większość członków organu administracyjnego, zarządzającego lub nadzorczego innego przedsiębiorstwa;</w:t>
            </w:r>
          </w:p>
        </w:tc>
      </w:tr>
    </w:tbl>
    <w:p w:rsidR="00A41F2A" w:rsidRPr="00A41F2A" w:rsidRDefault="00A41F2A" w:rsidP="00A41F2A">
      <w:pPr>
        <w:spacing w:after="0" w:line="240" w:lineRule="auto"/>
        <w:rPr>
          <w:rFonts w:ascii="Times New Roman" w:eastAsia="Times New Roman" w:hAnsi="Times New Roman" w:cs="Times New Roman"/>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210"/>
        <w:gridCol w:w="10256"/>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c)</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przedsiębiorstwo ma prawo wywierać dominujący wpływ na inne przedsiębiorstwo na podstawie umowy zawartej z tym przedsiębiorstwem lub postanowień w jego statucie lub umowie spółki;</w:t>
            </w:r>
          </w:p>
        </w:tc>
      </w:tr>
    </w:tbl>
    <w:p w:rsidR="00A41F2A" w:rsidRPr="00A41F2A" w:rsidRDefault="00A41F2A" w:rsidP="00A41F2A">
      <w:pPr>
        <w:spacing w:after="0" w:line="240" w:lineRule="auto"/>
        <w:rPr>
          <w:rFonts w:ascii="Times New Roman" w:eastAsia="Times New Roman" w:hAnsi="Times New Roman" w:cs="Times New Roman"/>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225"/>
        <w:gridCol w:w="10241"/>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d)</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tc>
      </w:tr>
    </w:tbl>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Zakłada się, że wpływ dominujący nie istnieje, jeżeli inwestorzy wymienieni w ust. 2 akapit drugi nie angażują się bezpośrednio lub pośrednio w zarządzanie danym przedsiębiorstwem, bez uszczerbku dla ich praw jako udziałowców/akcjonariuszy.</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Przedsiębiorstwa, które pozostają w jednym ze związków opisanych w akapicie pierwszym za pośrednictwem co najmniej jednego przedsiębiorstwa, lub jednego z inwestorów, o których mowa w ust. 2, również uznaje się za powiązane.</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Za „rynek pokrewny” uważa się rynek dla danego produktu lub usługi znajdujący się bezpośrednio na wyższym lub niższym szczeblu rynku w stosunku do rynku właściwego.</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4.   Poza przypadkami określonymi w ust. 2 akapit drugi przedsiębiorstwa nie można uznać za małe lub średnie przedsiębiorstwo, jeżeli 25 % lub więcej kapitału lub praw głosu kontroluje bezpośrednio lub pośrednio, wspólnie lub indywidualnie, co najmniej jeden organ publiczny.</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lastRenderedPageBreak/>
        <w:t>5.   Przedsiębiorstwa mogą złożyć oświadczenie o swoim statusie prawnym przedsiębiorstwa samodzielnego, przedsiębiorstwa partnerskiego lub przedsiębiorstwa powiązanego, załączając dane dotyczące pułapów określonych w art. 2. Oświadczenie można złożyć nawet wtedy, gdy kapitał jest rozdrobniony w stopniu uniemożliwiającym określenie właściciela, w którym to przypadku przedsiębiorstwo w dobrej wierze oświadcza, że w sposób prawnie uzasadniony może przyjąć, iż 25 % lub więcej jego kapitału nie jest w posiadaniu innego przedsiębiorstwa ani we wspólnym posiadaniu większej liczby powiązanych przedsiębiorstw. Oświadczenia takie nie wykluczają kontroli i postępowań wyjaśniających przewidzianych w przepisach krajowych lub unijnych.</w:t>
      </w:r>
    </w:p>
    <w:p w:rsidR="00A41F2A" w:rsidRPr="00A41F2A" w:rsidRDefault="00A41F2A" w:rsidP="00A41F2A">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pl-PL"/>
        </w:rPr>
      </w:pPr>
      <w:r w:rsidRPr="00A41F2A">
        <w:rPr>
          <w:rFonts w:ascii="Times New Roman" w:eastAsia="Times New Roman" w:hAnsi="Times New Roman" w:cs="Times New Roman"/>
          <w:i/>
          <w:iCs/>
          <w:color w:val="444444"/>
          <w:sz w:val="27"/>
          <w:szCs w:val="27"/>
          <w:lang w:eastAsia="pl-PL"/>
        </w:rPr>
        <w:t>Artykuł 4</w:t>
      </w:r>
    </w:p>
    <w:p w:rsidR="00A41F2A" w:rsidRPr="00A41F2A" w:rsidRDefault="00A41F2A" w:rsidP="00A41F2A">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pl-PL"/>
        </w:rPr>
      </w:pPr>
      <w:r w:rsidRPr="00A41F2A">
        <w:rPr>
          <w:rFonts w:ascii="Times New Roman" w:eastAsia="Times New Roman" w:hAnsi="Times New Roman" w:cs="Times New Roman"/>
          <w:b/>
          <w:bCs/>
          <w:color w:val="444444"/>
          <w:sz w:val="27"/>
          <w:szCs w:val="27"/>
          <w:lang w:eastAsia="pl-PL"/>
        </w:rPr>
        <w:t>Dane wykorzystywane do określania liczby personelu i kwot finansowych oraz okresy referencyjne</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1.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2.   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3.   W przypadku nowo utworzonych przedsiębiorstw, których księgi rachunkowe nie zostały jeszcze zatwierdzone, odpowiednie dane pochodzą z szacunków dokonanych w dobrej wierze w trakcie roku obrotowego.</w:t>
      </w:r>
    </w:p>
    <w:p w:rsidR="00A41F2A" w:rsidRPr="00A41F2A" w:rsidRDefault="00A41F2A" w:rsidP="00A41F2A">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pl-PL"/>
        </w:rPr>
      </w:pPr>
      <w:r w:rsidRPr="00A41F2A">
        <w:rPr>
          <w:rFonts w:ascii="Times New Roman" w:eastAsia="Times New Roman" w:hAnsi="Times New Roman" w:cs="Times New Roman"/>
          <w:i/>
          <w:iCs/>
          <w:color w:val="444444"/>
          <w:sz w:val="27"/>
          <w:szCs w:val="27"/>
          <w:lang w:eastAsia="pl-PL"/>
        </w:rPr>
        <w:t>Artykuł 5</w:t>
      </w:r>
    </w:p>
    <w:p w:rsidR="00A41F2A" w:rsidRPr="00A41F2A" w:rsidRDefault="00A41F2A" w:rsidP="00A41F2A">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pl-PL"/>
        </w:rPr>
      </w:pPr>
      <w:r w:rsidRPr="00A41F2A">
        <w:rPr>
          <w:rFonts w:ascii="Times New Roman" w:eastAsia="Times New Roman" w:hAnsi="Times New Roman" w:cs="Times New Roman"/>
          <w:b/>
          <w:bCs/>
          <w:color w:val="444444"/>
          <w:sz w:val="27"/>
          <w:szCs w:val="27"/>
          <w:lang w:eastAsia="pl-PL"/>
        </w:rPr>
        <w:t>Liczba personelu</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tbl>
      <w:tblPr>
        <w:tblW w:w="5000" w:type="pct"/>
        <w:shd w:val="clear" w:color="auto" w:fill="FFFFFF"/>
        <w:tblCellMar>
          <w:left w:w="0" w:type="dxa"/>
          <w:right w:w="0" w:type="dxa"/>
        </w:tblCellMar>
        <w:tblLook w:val="04A0" w:firstRow="1" w:lastRow="0" w:firstColumn="1" w:lastColumn="0" w:noHBand="0" w:noVBand="1"/>
      </w:tblPr>
      <w:tblGrid>
        <w:gridCol w:w="1423"/>
        <w:gridCol w:w="9043"/>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a)</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pracownicy;</w:t>
            </w:r>
          </w:p>
        </w:tc>
      </w:tr>
    </w:tbl>
    <w:p w:rsidR="00A41F2A" w:rsidRPr="00A41F2A" w:rsidRDefault="00A41F2A" w:rsidP="00A41F2A">
      <w:pPr>
        <w:spacing w:after="0" w:line="240" w:lineRule="auto"/>
        <w:rPr>
          <w:rFonts w:ascii="Times New Roman" w:eastAsia="Times New Roman" w:hAnsi="Times New Roman" w:cs="Times New Roman"/>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225"/>
        <w:gridCol w:w="10241"/>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b)</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osoby pracujące dla przedsiębiorstwa, podlegające mu i uważane za pracowników na mocy prawa krajowego,</w:t>
            </w:r>
          </w:p>
        </w:tc>
      </w:tr>
    </w:tbl>
    <w:p w:rsidR="00A41F2A" w:rsidRPr="00A41F2A" w:rsidRDefault="00A41F2A" w:rsidP="00A41F2A">
      <w:pPr>
        <w:spacing w:after="0" w:line="240" w:lineRule="auto"/>
        <w:rPr>
          <w:rFonts w:ascii="Times New Roman" w:eastAsia="Times New Roman" w:hAnsi="Times New Roman" w:cs="Times New Roman"/>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788"/>
        <w:gridCol w:w="9678"/>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c)</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właściciele-kierownicy;</w:t>
            </w:r>
          </w:p>
        </w:tc>
      </w:tr>
    </w:tbl>
    <w:p w:rsidR="00A41F2A" w:rsidRPr="00A41F2A" w:rsidRDefault="00A41F2A" w:rsidP="00A41F2A">
      <w:pPr>
        <w:spacing w:after="0" w:line="240" w:lineRule="auto"/>
        <w:rPr>
          <w:rFonts w:ascii="Times New Roman" w:eastAsia="Times New Roman" w:hAnsi="Times New Roman" w:cs="Times New Roman"/>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225"/>
        <w:gridCol w:w="10241"/>
      </w:tblGrid>
      <w:tr w:rsidR="00A41F2A" w:rsidRPr="00A41F2A" w:rsidTr="00A41F2A">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d)</w:t>
            </w:r>
          </w:p>
        </w:tc>
        <w:tc>
          <w:tcPr>
            <w:tcW w:w="0" w:type="auto"/>
            <w:shd w:val="clear" w:color="auto" w:fill="FFFFFF"/>
            <w:hideMark/>
          </w:tcPr>
          <w:p w:rsidR="00A41F2A" w:rsidRPr="00A41F2A" w:rsidRDefault="00A41F2A" w:rsidP="00A41F2A">
            <w:pPr>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partnerzy prowadzący regularną działalność w przedsiębiorstwie i czerpiący z niego korzyści finansowe.</w:t>
            </w:r>
          </w:p>
        </w:tc>
      </w:tr>
    </w:tbl>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lastRenderedPageBreak/>
        <w:t>Praktykanci lub studenci odbywający szkolenie zawodowe na podstawie umowy o praktyce lub szkoleniu zawodowym nie wchodzą w skład personelu. Nie wlicza się okresu trwania urlopu macierzyńskiego ani wychowawczego.</w:t>
      </w:r>
    </w:p>
    <w:p w:rsidR="00A41F2A" w:rsidRPr="00A41F2A" w:rsidRDefault="00A41F2A" w:rsidP="00A41F2A">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pl-PL"/>
        </w:rPr>
      </w:pPr>
      <w:r w:rsidRPr="00A41F2A">
        <w:rPr>
          <w:rFonts w:ascii="Times New Roman" w:eastAsia="Times New Roman" w:hAnsi="Times New Roman" w:cs="Times New Roman"/>
          <w:i/>
          <w:iCs/>
          <w:color w:val="444444"/>
          <w:sz w:val="27"/>
          <w:szCs w:val="27"/>
          <w:lang w:eastAsia="pl-PL"/>
        </w:rPr>
        <w:t>Artykuł 6</w:t>
      </w:r>
    </w:p>
    <w:p w:rsidR="00A41F2A" w:rsidRPr="00A41F2A" w:rsidRDefault="00A41F2A" w:rsidP="00A41F2A">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pl-PL"/>
        </w:rPr>
      </w:pPr>
      <w:r w:rsidRPr="00A41F2A">
        <w:rPr>
          <w:rFonts w:ascii="Times New Roman" w:eastAsia="Times New Roman" w:hAnsi="Times New Roman" w:cs="Times New Roman"/>
          <w:b/>
          <w:bCs/>
          <w:color w:val="444444"/>
          <w:sz w:val="27"/>
          <w:szCs w:val="27"/>
          <w:lang w:eastAsia="pl-PL"/>
        </w:rPr>
        <w:t>Ustalenie danych przedsiębiorstwa</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1.   W przypadku przedsiębiorstwa samodzielnego dane, w tym dane dotyczące liczby personelu, ustalane są wyłącznie na podstawie jego ksiąg rachunkowych.</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2.   W przypadku przedsiębiorstwa mającego przedsiębiorstwo partnerskie lub przedsiębiorstwa powiązane dane, w tym dane dotyczące liczby personelu, określa się na podstawie ksiąg rachunkowych i innych danych przedsiębiorstwa lub, jeżeli istnieją, skonsolidowanego sprawozdania finansowego danego przedsiębiorstwa lub skonsolidowanego sprawozdania finansowego innego przedsiębiorstwa, w którym ujęte jest dane przedsiębiorstwo.</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Dane, o których mowa w pierwszym akapicie, uzupełnia się danymi dotyczącymi każdego przedsiębiorstwa partnerskiego znajdującego się bezpośrednio na wyższym lub niższym szczeblu rynku w stosunku do danego przedsiębiorstwa. Uzupełnienie danych jest proporcjonalne do procentowego udziału w kapitale lub prawach głosu (zależnie od tego, która z tych wartości jest większa). W przypadku holdingów typu </w:t>
      </w:r>
      <w:r w:rsidRPr="00A41F2A">
        <w:rPr>
          <w:rFonts w:ascii="Times New Roman" w:eastAsia="Times New Roman" w:hAnsi="Times New Roman" w:cs="Times New Roman"/>
          <w:i/>
          <w:iCs/>
          <w:color w:val="444444"/>
          <w:sz w:val="27"/>
          <w:szCs w:val="27"/>
          <w:lang w:eastAsia="pl-PL"/>
        </w:rPr>
        <w:t>cross-holding</w:t>
      </w:r>
      <w:r w:rsidRPr="00A41F2A">
        <w:rPr>
          <w:rFonts w:ascii="Times New Roman" w:eastAsia="Times New Roman" w:hAnsi="Times New Roman" w:cs="Times New Roman"/>
          <w:color w:val="444444"/>
          <w:sz w:val="27"/>
          <w:szCs w:val="27"/>
          <w:lang w:eastAsia="pl-PL"/>
        </w:rPr>
        <w:t> stosuje się większy udział procentowy.</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Dane, o których mowa w pierwszym i drugim akapicie, uzupełnia się pełnymi danymi każdego przedsiębiorstwa, które jest bezpośrednio lub pośrednio powiązane z danym przedsiębiorstwem, jeśli dane te nie zostały podane wcześniej w ramach skonsolidowanego sprawozdania finansowego.</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3.   Do celów stosowania ust. 2 dane przedsiębiorstw partnerskich danego przedsiębiorstwa pochodzą z ich ksiąg rachunkowych i innych danych, w tym skonsolidowanego sprawozdania finansowego, o ile istnieje. Dane te uzupełnia się pełnymi danymi przedsiębiorstw, które są powiązane z tymi przedsiębiorstwami partnerskimi, jeśli dane te nie zostały podane wcześniej w ramach skonsolidowanego sprawozdania finansowego.</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Do celów stosowania tego samego ust. 2 dane przedsiębiorstw, które są powiązane z danym przedsiębiorstwem, pochodzą z ich ksiąg rachunkowych i innych danych, w tym skonsolidowanego sprawozdania finansowego, o ile istnieje. Dane te uzupełnia się proporcjonalnie danymi każdego ewentualnego przedsiębiorstwa partnerskiego takiego przedsiębiorstwa powiązanego, znajdującego się na wyższym lub niższym szczeblu rynku, chyba że zostały one już ujęte w skonsolidowanym sprawozdaniu finansowym w stosunku co najmniej proporcjonalnym do udziału określonego w ust. 2 akapit drugi.</w:t>
      </w:r>
    </w:p>
    <w:p w:rsidR="00A41F2A" w:rsidRPr="00A41F2A" w:rsidRDefault="00A41F2A" w:rsidP="00A41F2A">
      <w:pPr>
        <w:shd w:val="clear" w:color="auto" w:fill="FFFFFF"/>
        <w:spacing w:before="120" w:after="0" w:line="312" w:lineRule="atLeast"/>
        <w:jc w:val="both"/>
        <w:rPr>
          <w:rFonts w:ascii="Times New Roman" w:eastAsia="Times New Roman" w:hAnsi="Times New Roman" w:cs="Times New Roman"/>
          <w:color w:val="444444"/>
          <w:sz w:val="27"/>
          <w:szCs w:val="27"/>
          <w:lang w:eastAsia="pl-PL"/>
        </w:rPr>
      </w:pPr>
      <w:r w:rsidRPr="00A41F2A">
        <w:rPr>
          <w:rFonts w:ascii="Times New Roman" w:eastAsia="Times New Roman" w:hAnsi="Times New Roman" w:cs="Times New Roman"/>
          <w:color w:val="444444"/>
          <w:sz w:val="27"/>
          <w:szCs w:val="27"/>
          <w:lang w:eastAsia="pl-PL"/>
        </w:rPr>
        <w:t>4.   W przypadku gdy w skonsolidowanym sprawozdaniu finansowym brakuje danych dotyczących liczby personelu w danym przedsiębiorstwie, dane te oblicza się przez proporcjonalne zestawienie danych od przedsiębiorstw partnerskich oraz przez dodanie danych od przedsiębiorstw, z którymi dane przedsiębiorstwo jest powiązane.</w:t>
      </w:r>
    </w:p>
    <w:p w:rsidR="00113893" w:rsidRDefault="00113893"/>
    <w:sectPr w:rsidR="00113893" w:rsidSect="00A41F2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FE" w:rsidRDefault="008468FE" w:rsidP="00ED660B">
      <w:pPr>
        <w:spacing w:after="0" w:line="240" w:lineRule="auto"/>
      </w:pPr>
      <w:r>
        <w:separator/>
      </w:r>
    </w:p>
  </w:endnote>
  <w:endnote w:type="continuationSeparator" w:id="0">
    <w:p w:rsidR="008468FE" w:rsidRDefault="008468FE" w:rsidP="00ED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FE" w:rsidRDefault="008468FE" w:rsidP="00ED660B">
      <w:pPr>
        <w:spacing w:after="0" w:line="240" w:lineRule="auto"/>
      </w:pPr>
      <w:r>
        <w:separator/>
      </w:r>
    </w:p>
  </w:footnote>
  <w:footnote w:type="continuationSeparator" w:id="0">
    <w:p w:rsidR="008468FE" w:rsidRDefault="008468FE" w:rsidP="00ED6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0B" w:rsidRDefault="00ED660B">
    <w:pPr>
      <w:pStyle w:val="Nagwek"/>
    </w:pPr>
    <w:r>
      <w:t>R</w:t>
    </w:r>
    <w:r w:rsidRPr="00ED660B">
      <w:t>ozporządzenia Komisji WE nr 651/2014 z dnia 17 czerwca 2014 r. uznające niektóre rodzaje pomocy za zgodne z rynkiem wewnętrznym w zastosowaniu art. 107 i 108 Traktatu (Dz. Urz. UE L 187 z 26.06.2014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2A"/>
    <w:rsid w:val="00113893"/>
    <w:rsid w:val="008468FE"/>
    <w:rsid w:val="00A41F2A"/>
    <w:rsid w:val="00ED6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6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60B"/>
  </w:style>
  <w:style w:type="paragraph" w:styleId="Stopka">
    <w:name w:val="footer"/>
    <w:basedOn w:val="Normalny"/>
    <w:link w:val="StopkaZnak"/>
    <w:uiPriority w:val="99"/>
    <w:unhideWhenUsed/>
    <w:rsid w:val="00ED66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6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60B"/>
  </w:style>
  <w:style w:type="paragraph" w:styleId="Stopka">
    <w:name w:val="footer"/>
    <w:basedOn w:val="Normalny"/>
    <w:link w:val="StopkaZnak"/>
    <w:uiPriority w:val="99"/>
    <w:unhideWhenUsed/>
    <w:rsid w:val="00ED66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1485</Words>
  <Characters>8912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Byszyński</dc:creator>
  <cp:lastModifiedBy>Adam Byszyński</cp:lastModifiedBy>
  <cp:revision>2</cp:revision>
  <dcterms:created xsi:type="dcterms:W3CDTF">2020-01-30T13:33:00Z</dcterms:created>
  <dcterms:modified xsi:type="dcterms:W3CDTF">2020-01-30T13:38:00Z</dcterms:modified>
</cp:coreProperties>
</file>